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1F1" w:rsidRPr="000C21F1" w:rsidRDefault="000C21F1" w:rsidP="000C21F1">
      <w:pPr>
        <w:numPr>
          <w:ilvl w:val="0"/>
          <w:numId w:val="43"/>
        </w:numPr>
        <w:tabs>
          <w:tab w:val="clear" w:pos="720"/>
          <w:tab w:val="num" w:pos="360"/>
        </w:tabs>
        <w:spacing w:before="240"/>
        <w:ind w:left="360"/>
        <w:jc w:val="both"/>
        <w:rPr>
          <w:rFonts w:ascii="Arial" w:hAnsi="Arial" w:cs="Arial"/>
          <w:bCs/>
          <w:spacing w:val="-3"/>
          <w:sz w:val="22"/>
          <w:szCs w:val="22"/>
        </w:rPr>
      </w:pPr>
      <w:bookmarkStart w:id="0" w:name="_GoBack"/>
      <w:bookmarkEnd w:id="0"/>
      <w:r w:rsidRPr="000C21F1">
        <w:rPr>
          <w:rFonts w:ascii="Arial" w:hAnsi="Arial" w:cs="Arial"/>
          <w:bCs/>
          <w:spacing w:val="-3"/>
          <w:sz w:val="22"/>
          <w:szCs w:val="22"/>
        </w:rPr>
        <w:t>As part of its election commitments, the Government pledged</w:t>
      </w:r>
      <w:r w:rsidR="00BC47EC">
        <w:rPr>
          <w:rFonts w:ascii="Arial" w:hAnsi="Arial" w:cs="Arial"/>
          <w:bCs/>
          <w:spacing w:val="-3"/>
          <w:sz w:val="22"/>
          <w:szCs w:val="22"/>
        </w:rPr>
        <w:t xml:space="preserve"> to </w:t>
      </w:r>
      <w:r w:rsidRPr="000C21F1">
        <w:rPr>
          <w:rFonts w:ascii="Arial" w:hAnsi="Arial" w:cs="Arial"/>
          <w:bCs/>
          <w:spacing w:val="-3"/>
          <w:sz w:val="22"/>
          <w:szCs w:val="22"/>
        </w:rPr>
        <w:t>increas</w:t>
      </w:r>
      <w:r w:rsidR="00BC47EC">
        <w:rPr>
          <w:rFonts w:ascii="Arial" w:hAnsi="Arial" w:cs="Arial"/>
          <w:bCs/>
          <w:spacing w:val="-3"/>
          <w:sz w:val="22"/>
          <w:szCs w:val="22"/>
        </w:rPr>
        <w:t xml:space="preserve">e </w:t>
      </w:r>
      <w:r w:rsidRPr="000C21F1">
        <w:rPr>
          <w:rFonts w:ascii="Arial" w:hAnsi="Arial" w:cs="Arial"/>
          <w:bCs/>
          <w:spacing w:val="-3"/>
          <w:sz w:val="22"/>
          <w:szCs w:val="22"/>
        </w:rPr>
        <w:t>the penalty unit value from $100 to $110; and introduc</w:t>
      </w:r>
      <w:r w:rsidR="00BC47EC">
        <w:rPr>
          <w:rFonts w:ascii="Arial" w:hAnsi="Arial" w:cs="Arial"/>
          <w:bCs/>
          <w:spacing w:val="-3"/>
          <w:sz w:val="22"/>
          <w:szCs w:val="22"/>
        </w:rPr>
        <w:t>e</w:t>
      </w:r>
      <w:r w:rsidRPr="000C21F1">
        <w:rPr>
          <w:rFonts w:ascii="Arial" w:hAnsi="Arial" w:cs="Arial"/>
          <w:bCs/>
          <w:spacing w:val="-3"/>
          <w:sz w:val="22"/>
          <w:szCs w:val="22"/>
        </w:rPr>
        <w:t xml:space="preserve"> a nominal administration fee on all criminal justice related outcomes in </w:t>
      </w:r>
      <w:r w:rsidR="00BA40FA">
        <w:rPr>
          <w:rFonts w:ascii="Arial" w:hAnsi="Arial" w:cs="Arial"/>
          <w:bCs/>
          <w:spacing w:val="-3"/>
          <w:sz w:val="22"/>
          <w:szCs w:val="22"/>
        </w:rPr>
        <w:t xml:space="preserve">the Supreme and District ($300) and </w:t>
      </w:r>
      <w:r w:rsidRPr="000C21F1">
        <w:rPr>
          <w:rFonts w:ascii="Arial" w:hAnsi="Arial" w:cs="Arial"/>
          <w:bCs/>
          <w:spacing w:val="-3"/>
          <w:sz w:val="22"/>
          <w:szCs w:val="22"/>
        </w:rPr>
        <w:t>Magistrates ($100) Courts where an offender is found guilty. </w:t>
      </w:r>
    </w:p>
    <w:p w:rsidR="000C21F1" w:rsidRPr="000C21F1" w:rsidRDefault="000C21F1" w:rsidP="000C21F1">
      <w:pPr>
        <w:numPr>
          <w:ilvl w:val="0"/>
          <w:numId w:val="43"/>
        </w:numPr>
        <w:tabs>
          <w:tab w:val="clear" w:pos="720"/>
          <w:tab w:val="num" w:pos="360"/>
        </w:tabs>
        <w:spacing w:before="240"/>
        <w:ind w:left="360"/>
        <w:jc w:val="both"/>
        <w:rPr>
          <w:rFonts w:ascii="Arial" w:hAnsi="Arial" w:cs="Arial"/>
          <w:bCs/>
          <w:spacing w:val="-3"/>
          <w:sz w:val="22"/>
          <w:szCs w:val="22"/>
        </w:rPr>
      </w:pPr>
      <w:r w:rsidRPr="000C21F1">
        <w:rPr>
          <w:rFonts w:ascii="Arial" w:hAnsi="Arial" w:cs="Arial"/>
          <w:bCs/>
          <w:spacing w:val="-3"/>
          <w:sz w:val="22"/>
          <w:szCs w:val="22"/>
        </w:rPr>
        <w:t>The Penalties and Sentences and Other Legislation Amendment Bill 2012 deliver</w:t>
      </w:r>
      <w:r w:rsidR="00471692">
        <w:rPr>
          <w:rFonts w:ascii="Arial" w:hAnsi="Arial" w:cs="Arial"/>
          <w:bCs/>
          <w:spacing w:val="-3"/>
          <w:sz w:val="22"/>
          <w:szCs w:val="22"/>
        </w:rPr>
        <w:t>s</w:t>
      </w:r>
      <w:r w:rsidRPr="000C21F1">
        <w:rPr>
          <w:rFonts w:ascii="Arial" w:hAnsi="Arial" w:cs="Arial"/>
          <w:bCs/>
          <w:spacing w:val="-3"/>
          <w:sz w:val="22"/>
          <w:szCs w:val="22"/>
        </w:rPr>
        <w:t xml:space="preserve"> on these commitments by amending the </w:t>
      </w:r>
      <w:r w:rsidRPr="000C21F1">
        <w:rPr>
          <w:rFonts w:ascii="Arial" w:hAnsi="Arial" w:cs="Arial"/>
          <w:bCs/>
          <w:i/>
          <w:spacing w:val="-3"/>
          <w:sz w:val="22"/>
          <w:szCs w:val="22"/>
        </w:rPr>
        <w:t>Penalties and Sentences Act 1992</w:t>
      </w:r>
      <w:r>
        <w:rPr>
          <w:rFonts w:ascii="Arial" w:hAnsi="Arial" w:cs="Arial"/>
          <w:bCs/>
          <w:spacing w:val="-3"/>
          <w:sz w:val="22"/>
          <w:szCs w:val="22"/>
        </w:rPr>
        <w:t xml:space="preserve"> </w:t>
      </w:r>
      <w:r w:rsidRPr="000C21F1">
        <w:rPr>
          <w:rFonts w:ascii="Arial" w:hAnsi="Arial" w:cs="Arial"/>
          <w:bCs/>
          <w:spacing w:val="-3"/>
          <w:sz w:val="22"/>
          <w:szCs w:val="22"/>
        </w:rPr>
        <w:t xml:space="preserve">to increase the penalty unit value prescribed in section 5 and introduce the offender levy. </w:t>
      </w:r>
    </w:p>
    <w:p w:rsidR="00837992" w:rsidRDefault="00837992" w:rsidP="002E287D">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addresses the expiry of the </w:t>
      </w:r>
      <w:smartTag w:uri="urn:schemas-microsoft-com:office:smarttags" w:element="Street">
        <w:smartTag w:uri="urn:schemas-microsoft-com:office:smarttags" w:element="address">
          <w:r w:rsidRPr="00837992">
            <w:rPr>
              <w:rFonts w:ascii="Arial" w:hAnsi="Arial" w:cs="Arial"/>
              <w:bCs/>
              <w:i/>
              <w:spacing w:val="-3"/>
              <w:sz w:val="22"/>
              <w:szCs w:val="22"/>
            </w:rPr>
            <w:t>Childrens Court</w:t>
          </w:r>
        </w:smartTag>
      </w:smartTag>
      <w:r w:rsidRPr="00837992">
        <w:rPr>
          <w:rFonts w:ascii="Arial" w:hAnsi="Arial" w:cs="Arial"/>
          <w:bCs/>
          <w:i/>
          <w:spacing w:val="-3"/>
          <w:sz w:val="22"/>
          <w:szCs w:val="22"/>
        </w:rPr>
        <w:t xml:space="preserve"> Rules 1997</w:t>
      </w:r>
      <w:r>
        <w:rPr>
          <w:rFonts w:ascii="Arial" w:hAnsi="Arial" w:cs="Arial"/>
          <w:bCs/>
          <w:spacing w:val="-3"/>
          <w:sz w:val="22"/>
          <w:szCs w:val="22"/>
        </w:rPr>
        <w:t xml:space="preserve"> and the </w:t>
      </w:r>
      <w:smartTag w:uri="urn:schemas-microsoft-com:office:smarttags" w:element="Street">
        <w:smartTag w:uri="urn:schemas-microsoft-com:office:smarttags" w:element="address">
          <w:r w:rsidRPr="00837992">
            <w:rPr>
              <w:rFonts w:ascii="Arial" w:hAnsi="Arial" w:cs="Arial"/>
              <w:bCs/>
              <w:i/>
              <w:spacing w:val="-3"/>
              <w:sz w:val="22"/>
              <w:szCs w:val="22"/>
            </w:rPr>
            <w:t>Land Court</w:t>
          </w:r>
        </w:smartTag>
      </w:smartTag>
      <w:r w:rsidRPr="00837992">
        <w:rPr>
          <w:rFonts w:ascii="Arial" w:hAnsi="Arial" w:cs="Arial"/>
          <w:bCs/>
          <w:i/>
          <w:spacing w:val="-3"/>
          <w:sz w:val="22"/>
          <w:szCs w:val="22"/>
        </w:rPr>
        <w:t xml:space="preserve"> Rules 2000</w:t>
      </w:r>
      <w:r>
        <w:rPr>
          <w:rFonts w:ascii="Arial" w:hAnsi="Arial" w:cs="Arial"/>
          <w:bCs/>
          <w:spacing w:val="-3"/>
          <w:sz w:val="22"/>
          <w:szCs w:val="22"/>
        </w:rPr>
        <w:t xml:space="preserve"> by retrospectively validating anything done or purported to be done under the rules after the date of expiry. In addition, the Bill ensures the all current ‘rules of court’ are not subject to expiry or the requirements under Part 5 of the </w:t>
      </w:r>
      <w:r>
        <w:rPr>
          <w:rFonts w:ascii="Arial" w:hAnsi="Arial" w:cs="Arial"/>
          <w:bCs/>
          <w:i/>
          <w:spacing w:val="-3"/>
          <w:sz w:val="22"/>
          <w:szCs w:val="22"/>
        </w:rPr>
        <w:t xml:space="preserve">Statutory Instruments Act 1992 </w:t>
      </w:r>
      <w:r>
        <w:rPr>
          <w:rFonts w:ascii="Arial" w:hAnsi="Arial" w:cs="Arial"/>
          <w:bCs/>
          <w:spacing w:val="-3"/>
          <w:sz w:val="22"/>
          <w:szCs w:val="22"/>
        </w:rPr>
        <w:t xml:space="preserve">relating to regulatory impact statements. </w:t>
      </w:r>
    </w:p>
    <w:p w:rsidR="00BC47EC" w:rsidRDefault="00BC47EC" w:rsidP="00BC47EC">
      <w:pPr>
        <w:autoSpaceDE w:val="0"/>
        <w:autoSpaceDN w:val="0"/>
        <w:adjustRightInd w:val="0"/>
        <w:rPr>
          <w:rFonts w:ascii="Arial" w:hAnsi="Arial" w:cs="Arial"/>
          <w:bCs/>
          <w:spacing w:val="-3"/>
          <w:sz w:val="22"/>
          <w:szCs w:val="22"/>
        </w:rPr>
      </w:pPr>
    </w:p>
    <w:p w:rsidR="00BC47EC" w:rsidRPr="00BA40FA" w:rsidRDefault="00BC47EC" w:rsidP="00B50E40">
      <w:pPr>
        <w:numPr>
          <w:ilvl w:val="0"/>
          <w:numId w:val="43"/>
        </w:numPr>
        <w:tabs>
          <w:tab w:val="clear" w:pos="720"/>
          <w:tab w:val="num" w:pos="426"/>
        </w:tabs>
        <w:autoSpaceDE w:val="0"/>
        <w:autoSpaceDN w:val="0"/>
        <w:adjustRightInd w:val="0"/>
        <w:ind w:left="426" w:hanging="426"/>
        <w:jc w:val="both"/>
        <w:rPr>
          <w:rFonts w:ascii="Arial" w:hAnsi="Arial" w:cs="Arial"/>
          <w:bCs/>
          <w:spacing w:val="-3"/>
          <w:sz w:val="22"/>
          <w:szCs w:val="22"/>
        </w:rPr>
      </w:pPr>
      <w:r w:rsidRPr="006E2E33">
        <w:rPr>
          <w:rFonts w:ascii="Arial" w:hAnsi="Arial" w:cs="Arial"/>
          <w:bCs/>
          <w:spacing w:val="-3"/>
          <w:sz w:val="22"/>
          <w:szCs w:val="22"/>
        </w:rPr>
        <w:t xml:space="preserve">The Bill amends the </w:t>
      </w:r>
      <w:r w:rsidRPr="006E2E33">
        <w:rPr>
          <w:rFonts w:ascii="Arial" w:hAnsi="Arial" w:cs="Arial"/>
          <w:bCs/>
          <w:i/>
          <w:spacing w:val="-3"/>
          <w:sz w:val="22"/>
          <w:szCs w:val="22"/>
        </w:rPr>
        <w:t>Industrial Relations Act 1999</w:t>
      </w:r>
      <w:r w:rsidRPr="006E2E33">
        <w:rPr>
          <w:rFonts w:ascii="Arial" w:hAnsi="Arial" w:cs="Arial"/>
          <w:bCs/>
          <w:spacing w:val="-3"/>
          <w:sz w:val="22"/>
          <w:szCs w:val="22"/>
        </w:rPr>
        <w:t xml:space="preserve"> </w:t>
      </w:r>
      <w:r w:rsidRPr="006E2E33">
        <w:rPr>
          <w:rFonts w:ascii="Arial" w:hAnsi="Arial" w:cs="Arial"/>
          <w:sz w:val="22"/>
          <w:szCs w:val="22"/>
        </w:rPr>
        <w:t xml:space="preserve">and the </w:t>
      </w:r>
      <w:r w:rsidRPr="006E2E33">
        <w:rPr>
          <w:rFonts w:ascii="Arial" w:hAnsi="Arial" w:cs="Arial"/>
          <w:i/>
          <w:iCs/>
          <w:sz w:val="22"/>
          <w:szCs w:val="22"/>
        </w:rPr>
        <w:t>Industrial Relations Regulation 2011</w:t>
      </w:r>
      <w:r w:rsidRPr="006E2E33">
        <w:rPr>
          <w:rFonts w:ascii="Arial" w:hAnsi="Arial" w:cs="Arial"/>
          <w:sz w:val="22"/>
          <w:szCs w:val="22"/>
        </w:rPr>
        <w:t>, to permit a health employer to make deductions from a health employee’s wages and other amounts payable in relation to employment to recover overpayments or any part of the transition loan made by a health employer that has not been repaid.</w:t>
      </w:r>
    </w:p>
    <w:p w:rsidR="0089134B" w:rsidRDefault="00BA40FA" w:rsidP="002E287D">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w:t>
      </w:r>
      <w:r w:rsidR="00471692">
        <w:rPr>
          <w:rFonts w:ascii="Arial" w:hAnsi="Arial" w:cs="Arial"/>
          <w:bCs/>
          <w:spacing w:val="-3"/>
          <w:sz w:val="22"/>
          <w:szCs w:val="22"/>
        </w:rPr>
        <w:t>amends</w:t>
      </w:r>
      <w:r>
        <w:rPr>
          <w:rFonts w:ascii="Arial" w:hAnsi="Arial" w:cs="Arial"/>
          <w:bCs/>
          <w:spacing w:val="-3"/>
          <w:sz w:val="22"/>
          <w:szCs w:val="22"/>
        </w:rPr>
        <w:t xml:space="preserve"> the </w:t>
      </w:r>
      <w:r w:rsidRPr="00221761">
        <w:rPr>
          <w:rFonts w:ascii="Arial" w:hAnsi="Arial" w:cs="Arial"/>
          <w:bCs/>
          <w:i/>
          <w:spacing w:val="-3"/>
          <w:sz w:val="22"/>
          <w:szCs w:val="22"/>
        </w:rPr>
        <w:t xml:space="preserve">Commissions of Inquiry </w:t>
      </w:r>
      <w:r w:rsidR="00221761">
        <w:rPr>
          <w:rFonts w:ascii="Arial" w:hAnsi="Arial" w:cs="Arial"/>
          <w:bCs/>
          <w:i/>
          <w:spacing w:val="-3"/>
          <w:sz w:val="22"/>
          <w:szCs w:val="22"/>
        </w:rPr>
        <w:t>A</w:t>
      </w:r>
      <w:r w:rsidRPr="00221761">
        <w:rPr>
          <w:rFonts w:ascii="Arial" w:hAnsi="Arial" w:cs="Arial"/>
          <w:bCs/>
          <w:i/>
          <w:spacing w:val="-3"/>
          <w:sz w:val="22"/>
          <w:szCs w:val="22"/>
        </w:rPr>
        <w:t>ct 1950</w:t>
      </w:r>
      <w:r>
        <w:rPr>
          <w:rFonts w:ascii="Arial" w:hAnsi="Arial" w:cs="Arial"/>
          <w:bCs/>
          <w:spacing w:val="-3"/>
          <w:sz w:val="22"/>
          <w:szCs w:val="22"/>
        </w:rPr>
        <w:t xml:space="preserve"> to facilitate </w:t>
      </w:r>
      <w:r w:rsidR="00471692">
        <w:rPr>
          <w:rFonts w:ascii="Arial" w:hAnsi="Arial" w:cs="Arial"/>
          <w:bCs/>
          <w:spacing w:val="-3"/>
          <w:sz w:val="22"/>
          <w:szCs w:val="22"/>
        </w:rPr>
        <w:t xml:space="preserve">the provision of </w:t>
      </w:r>
      <w:r>
        <w:rPr>
          <w:rFonts w:ascii="Arial" w:hAnsi="Arial" w:cs="Arial"/>
          <w:bCs/>
          <w:spacing w:val="-3"/>
          <w:sz w:val="22"/>
          <w:szCs w:val="22"/>
        </w:rPr>
        <w:t>evidence at a Commission of Inquiry</w:t>
      </w:r>
      <w:r w:rsidR="00471692">
        <w:rPr>
          <w:rFonts w:ascii="Arial" w:hAnsi="Arial" w:cs="Arial"/>
          <w:bCs/>
          <w:spacing w:val="-3"/>
          <w:sz w:val="22"/>
          <w:szCs w:val="22"/>
        </w:rPr>
        <w:t xml:space="preserve"> and provides that a witness called by a Commission of Inquiry can give</w:t>
      </w:r>
      <w:r>
        <w:rPr>
          <w:rFonts w:ascii="Arial" w:hAnsi="Arial" w:cs="Arial"/>
          <w:bCs/>
          <w:spacing w:val="-3"/>
          <w:sz w:val="22"/>
          <w:szCs w:val="22"/>
        </w:rPr>
        <w:t xml:space="preserve"> </w:t>
      </w:r>
      <w:r w:rsidR="0089134B">
        <w:rPr>
          <w:rFonts w:ascii="Arial" w:hAnsi="Arial" w:cs="Arial"/>
          <w:bCs/>
          <w:spacing w:val="-3"/>
          <w:sz w:val="22"/>
          <w:szCs w:val="22"/>
        </w:rPr>
        <w:t xml:space="preserve">information </w:t>
      </w:r>
      <w:r w:rsidR="00471692">
        <w:rPr>
          <w:rFonts w:ascii="Arial" w:hAnsi="Arial" w:cs="Arial"/>
          <w:bCs/>
          <w:spacing w:val="-3"/>
          <w:sz w:val="22"/>
          <w:szCs w:val="22"/>
        </w:rPr>
        <w:t xml:space="preserve">to a Commission </w:t>
      </w:r>
      <w:r w:rsidR="0089134B">
        <w:rPr>
          <w:rFonts w:ascii="Arial" w:hAnsi="Arial" w:cs="Arial"/>
          <w:bCs/>
          <w:spacing w:val="-3"/>
          <w:sz w:val="22"/>
          <w:szCs w:val="22"/>
        </w:rPr>
        <w:t xml:space="preserve">despite </w:t>
      </w:r>
      <w:r w:rsidR="00471692">
        <w:rPr>
          <w:rFonts w:ascii="Arial" w:hAnsi="Arial" w:cs="Arial"/>
          <w:bCs/>
          <w:spacing w:val="-3"/>
          <w:sz w:val="22"/>
          <w:szCs w:val="22"/>
        </w:rPr>
        <w:t>a</w:t>
      </w:r>
      <w:r w:rsidR="0089134B">
        <w:rPr>
          <w:rFonts w:ascii="Arial" w:hAnsi="Arial" w:cs="Arial"/>
          <w:bCs/>
          <w:spacing w:val="-3"/>
          <w:sz w:val="22"/>
          <w:szCs w:val="22"/>
        </w:rPr>
        <w:t xml:space="preserve"> confidentiality clause in any other legislation. </w:t>
      </w:r>
      <w:r w:rsidR="004470A5">
        <w:rPr>
          <w:rFonts w:ascii="Arial" w:hAnsi="Arial" w:cs="Arial"/>
          <w:bCs/>
          <w:spacing w:val="-3"/>
          <w:sz w:val="22"/>
          <w:szCs w:val="22"/>
        </w:rPr>
        <w:t>The Bill also amends the Act to ensure Commission of Inquiry staff and any Commissioner does not disclose confidential information provided to it, other than for the purposes of the Act.</w:t>
      </w:r>
    </w:p>
    <w:p w:rsidR="002B13B0" w:rsidRPr="00BA40FA" w:rsidRDefault="002B13B0" w:rsidP="002B13B0">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also amends the </w:t>
      </w:r>
      <w:r w:rsidRPr="00221761">
        <w:rPr>
          <w:rFonts w:ascii="Arial" w:hAnsi="Arial" w:cs="Arial"/>
          <w:bCs/>
          <w:i/>
          <w:spacing w:val="-3"/>
          <w:sz w:val="22"/>
          <w:szCs w:val="22"/>
        </w:rPr>
        <w:t>Civil Proceedings Act</w:t>
      </w:r>
      <w:r>
        <w:rPr>
          <w:rFonts w:ascii="Arial" w:hAnsi="Arial" w:cs="Arial"/>
          <w:bCs/>
          <w:i/>
          <w:spacing w:val="-3"/>
          <w:sz w:val="22"/>
          <w:szCs w:val="22"/>
        </w:rPr>
        <w:t xml:space="preserve"> 2011 </w:t>
      </w:r>
      <w:r>
        <w:rPr>
          <w:rFonts w:ascii="Arial" w:hAnsi="Arial" w:cs="Arial"/>
          <w:bCs/>
          <w:spacing w:val="-3"/>
          <w:sz w:val="22"/>
          <w:szCs w:val="22"/>
        </w:rPr>
        <w:t xml:space="preserve">to expand the definition of ‘relationship’ in section 67(7) to include a ‘registered relationship’, as defined in section 36 of the </w:t>
      </w:r>
      <w:r>
        <w:rPr>
          <w:rFonts w:ascii="Arial" w:hAnsi="Arial" w:cs="Arial"/>
          <w:bCs/>
          <w:i/>
          <w:spacing w:val="-3"/>
          <w:sz w:val="22"/>
          <w:szCs w:val="22"/>
        </w:rPr>
        <w:t>Acts Interpretation Act 1954.</w:t>
      </w:r>
    </w:p>
    <w:p w:rsidR="00072F62" w:rsidRDefault="002E287D" w:rsidP="00072F62">
      <w:pPr>
        <w:numPr>
          <w:ilvl w:val="0"/>
          <w:numId w:val="43"/>
        </w:numPr>
        <w:tabs>
          <w:tab w:val="clear" w:pos="720"/>
          <w:tab w:val="num" w:pos="360"/>
        </w:tabs>
        <w:spacing w:before="240"/>
        <w:ind w:left="360"/>
        <w:jc w:val="both"/>
        <w:rPr>
          <w:rFonts w:ascii="Arial" w:hAnsi="Arial" w:cs="Arial"/>
          <w:sz w:val="22"/>
          <w:szCs w:val="22"/>
        </w:rPr>
      </w:pPr>
      <w:r w:rsidRPr="00D97C36">
        <w:rPr>
          <w:rFonts w:ascii="Arial" w:hAnsi="Arial" w:cs="Arial"/>
          <w:sz w:val="22"/>
          <w:szCs w:val="22"/>
          <w:u w:val="single"/>
        </w:rPr>
        <w:t>Cabinet approved</w:t>
      </w:r>
      <w:r w:rsidR="000C21F1" w:rsidRPr="005554CB">
        <w:rPr>
          <w:rFonts w:ascii="Arial" w:hAnsi="Arial" w:cs="Arial"/>
          <w:sz w:val="22"/>
          <w:szCs w:val="22"/>
        </w:rPr>
        <w:t xml:space="preserve"> the</w:t>
      </w:r>
      <w:r w:rsidR="000C21F1">
        <w:rPr>
          <w:rFonts w:ascii="Arial" w:hAnsi="Arial" w:cs="Arial"/>
          <w:sz w:val="22"/>
          <w:szCs w:val="22"/>
        </w:rPr>
        <w:t xml:space="preserve"> </w:t>
      </w:r>
      <w:r w:rsidR="00BA40FA">
        <w:rPr>
          <w:rFonts w:ascii="Arial" w:hAnsi="Arial" w:cs="Arial"/>
          <w:sz w:val="22"/>
          <w:szCs w:val="22"/>
        </w:rPr>
        <w:t xml:space="preserve">introduction of the </w:t>
      </w:r>
      <w:r w:rsidR="00B50E40" w:rsidRPr="00B50E40">
        <w:rPr>
          <w:rFonts w:ascii="Arial" w:hAnsi="Arial" w:cs="Arial"/>
          <w:sz w:val="22"/>
          <w:szCs w:val="22"/>
        </w:rPr>
        <w:t>Penalties and Sentences and Other Legislation Amendment Bill 2012</w:t>
      </w:r>
      <w:r w:rsidR="00B50E40">
        <w:rPr>
          <w:rFonts w:ascii="Arial" w:hAnsi="Arial" w:cs="Arial"/>
          <w:sz w:val="22"/>
          <w:szCs w:val="22"/>
        </w:rPr>
        <w:t xml:space="preserve"> into the Legislative Assembly</w:t>
      </w:r>
      <w:r w:rsidR="00EA362A">
        <w:rPr>
          <w:rFonts w:ascii="Arial" w:hAnsi="Arial" w:cs="Arial"/>
          <w:sz w:val="22"/>
          <w:szCs w:val="22"/>
        </w:rPr>
        <w:t xml:space="preserve">.  </w:t>
      </w:r>
      <w:r w:rsidR="000C21F1">
        <w:rPr>
          <w:rFonts w:ascii="Arial" w:hAnsi="Arial" w:cs="Arial"/>
          <w:sz w:val="22"/>
          <w:szCs w:val="22"/>
        </w:rPr>
        <w:t xml:space="preserve"> </w:t>
      </w:r>
    </w:p>
    <w:p w:rsidR="00072F62" w:rsidRPr="00B50E40" w:rsidRDefault="00072F62" w:rsidP="00B50E40">
      <w:pPr>
        <w:numPr>
          <w:ilvl w:val="0"/>
          <w:numId w:val="43"/>
        </w:numPr>
        <w:tabs>
          <w:tab w:val="clear" w:pos="720"/>
          <w:tab w:val="num" w:pos="360"/>
        </w:tabs>
        <w:spacing w:before="360"/>
        <w:ind w:left="357" w:hanging="357"/>
        <w:jc w:val="both"/>
        <w:rPr>
          <w:rFonts w:ascii="Arial" w:hAnsi="Arial" w:cs="Arial"/>
          <w:sz w:val="22"/>
          <w:szCs w:val="22"/>
        </w:rPr>
      </w:pPr>
      <w:r w:rsidRPr="00072F62">
        <w:rPr>
          <w:rFonts w:ascii="Arial" w:hAnsi="Arial" w:cs="Arial"/>
          <w:i/>
          <w:sz w:val="22"/>
          <w:szCs w:val="22"/>
          <w:u w:val="single"/>
        </w:rPr>
        <w:t xml:space="preserve">Attachments </w:t>
      </w:r>
    </w:p>
    <w:p w:rsidR="00072F62" w:rsidRPr="007B4F66" w:rsidRDefault="003275D0" w:rsidP="00B50E40">
      <w:pPr>
        <w:numPr>
          <w:ilvl w:val="0"/>
          <w:numId w:val="46"/>
        </w:numPr>
        <w:spacing w:before="120"/>
        <w:ind w:left="714" w:hanging="357"/>
        <w:jc w:val="both"/>
        <w:rPr>
          <w:rFonts w:ascii="Arial" w:hAnsi="Arial" w:cs="Arial"/>
          <w:bCs/>
          <w:spacing w:val="-3"/>
          <w:sz w:val="22"/>
          <w:szCs w:val="22"/>
        </w:rPr>
      </w:pPr>
      <w:hyperlink r:id="rId7" w:history="1">
        <w:r w:rsidR="007B4F66" w:rsidRPr="00943A5D">
          <w:rPr>
            <w:rStyle w:val="Hyperlink"/>
            <w:rFonts w:ascii="Arial" w:hAnsi="Arial" w:cs="Arial"/>
            <w:sz w:val="22"/>
            <w:szCs w:val="22"/>
          </w:rPr>
          <w:t>Penalties and Sentences and Other Legislation Amendment Bill 2012</w:t>
        </w:r>
      </w:hyperlink>
    </w:p>
    <w:p w:rsidR="002E287D" w:rsidRPr="002F23BF" w:rsidRDefault="003275D0" w:rsidP="00AB2BD1">
      <w:pPr>
        <w:numPr>
          <w:ilvl w:val="0"/>
          <w:numId w:val="46"/>
        </w:numPr>
        <w:spacing w:before="120"/>
        <w:ind w:left="714" w:hanging="357"/>
        <w:jc w:val="both"/>
        <w:rPr>
          <w:rFonts w:ascii="Arial" w:hAnsi="Arial" w:cs="Arial"/>
          <w:bCs/>
          <w:spacing w:val="-3"/>
          <w:sz w:val="22"/>
          <w:szCs w:val="22"/>
        </w:rPr>
      </w:pPr>
      <w:hyperlink r:id="rId8" w:history="1">
        <w:r w:rsidR="007B4F66" w:rsidRPr="00943A5D">
          <w:rPr>
            <w:rStyle w:val="Hyperlink"/>
            <w:rFonts w:ascii="Arial" w:hAnsi="Arial" w:cs="Arial"/>
            <w:sz w:val="22"/>
            <w:szCs w:val="22"/>
          </w:rPr>
          <w:t>Explanatory Notes</w:t>
        </w:r>
      </w:hyperlink>
      <w:r w:rsidR="00943A5D">
        <w:rPr>
          <w:rFonts w:ascii="Arial" w:hAnsi="Arial" w:cs="Arial"/>
          <w:sz w:val="22"/>
          <w:szCs w:val="22"/>
        </w:rPr>
        <w:t xml:space="preserve"> and </w:t>
      </w:r>
      <w:hyperlink r:id="rId9" w:history="1">
        <w:r w:rsidR="00943A5D" w:rsidRPr="00943A5D">
          <w:rPr>
            <w:rStyle w:val="Hyperlink"/>
            <w:rFonts w:ascii="Arial" w:hAnsi="Arial" w:cs="Arial"/>
            <w:sz w:val="22"/>
            <w:szCs w:val="22"/>
          </w:rPr>
          <w:t>Erratum</w:t>
        </w:r>
      </w:hyperlink>
    </w:p>
    <w:sectPr w:rsidR="002E287D" w:rsidRPr="002F23BF" w:rsidSect="00B50E40">
      <w:headerReference w:type="default" r:id="rId10"/>
      <w:footerReference w:type="default" r:id="rId11"/>
      <w:headerReference w:type="first" r:id="rId12"/>
      <w:pgSz w:w="11907" w:h="16840" w:code="9"/>
      <w:pgMar w:top="851" w:right="1134" w:bottom="851" w:left="1134"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06" w:rsidRDefault="007B4506">
      <w:r>
        <w:separator/>
      </w:r>
    </w:p>
  </w:endnote>
  <w:endnote w:type="continuationSeparator" w:id="0">
    <w:p w:rsidR="007B4506" w:rsidRDefault="007B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92" w:rsidRPr="001141E1" w:rsidRDefault="00471692"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06" w:rsidRDefault="007B4506">
      <w:r>
        <w:separator/>
      </w:r>
    </w:p>
  </w:footnote>
  <w:footnote w:type="continuationSeparator" w:id="0">
    <w:p w:rsidR="007B4506" w:rsidRDefault="007B4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92" w:rsidRPr="000400F9" w:rsidRDefault="009B0B6C" w:rsidP="00B46A4E">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71692" w:rsidRPr="000400F9">
      <w:rPr>
        <w:rFonts w:ascii="Arial" w:hAnsi="Arial" w:cs="Arial"/>
        <w:b/>
        <w:sz w:val="22"/>
        <w:szCs w:val="22"/>
        <w:u w:val="single"/>
      </w:rPr>
      <w:t xml:space="preserve">Cabinet – </w:t>
    </w:r>
    <w:r w:rsidR="00471692">
      <w:rPr>
        <w:rFonts w:ascii="Arial" w:hAnsi="Arial" w:cs="Arial"/>
        <w:b/>
        <w:sz w:val="22"/>
        <w:szCs w:val="22"/>
        <w:u w:val="single"/>
      </w:rPr>
      <w:t>month year</w:t>
    </w:r>
  </w:p>
  <w:p w:rsidR="00471692" w:rsidRDefault="00471692" w:rsidP="00B46A4E">
    <w:pPr>
      <w:pStyle w:val="Header"/>
      <w:spacing w:before="120"/>
      <w:rPr>
        <w:rFonts w:ascii="Arial" w:hAnsi="Arial" w:cs="Arial"/>
        <w:b/>
        <w:sz w:val="22"/>
        <w:szCs w:val="22"/>
        <w:u w:val="single"/>
      </w:rPr>
    </w:pPr>
    <w:r>
      <w:rPr>
        <w:rFonts w:ascii="Arial" w:hAnsi="Arial" w:cs="Arial"/>
        <w:b/>
        <w:sz w:val="22"/>
        <w:szCs w:val="22"/>
        <w:u w:val="single"/>
      </w:rPr>
      <w:t>submission subject</w:t>
    </w:r>
  </w:p>
  <w:p w:rsidR="00471692" w:rsidRDefault="00471692" w:rsidP="00B46A4E">
    <w:pPr>
      <w:pStyle w:val="Header"/>
      <w:spacing w:before="120"/>
      <w:rPr>
        <w:rFonts w:ascii="Arial" w:hAnsi="Arial" w:cs="Arial"/>
        <w:b/>
        <w:sz w:val="22"/>
        <w:szCs w:val="22"/>
        <w:u w:val="single"/>
      </w:rPr>
    </w:pPr>
    <w:r>
      <w:rPr>
        <w:rFonts w:ascii="Arial" w:hAnsi="Arial" w:cs="Arial"/>
        <w:b/>
        <w:sz w:val="22"/>
        <w:szCs w:val="22"/>
        <w:u w:val="single"/>
      </w:rPr>
      <w:t>Minister/s title</w:t>
    </w:r>
  </w:p>
  <w:p w:rsidR="00471692" w:rsidRPr="00F10DF9" w:rsidRDefault="00471692" w:rsidP="00B46A4E">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92" w:rsidRPr="00D75134" w:rsidRDefault="00471692" w:rsidP="00124E7D">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471692" w:rsidRPr="00D75134" w:rsidRDefault="00471692" w:rsidP="00124E7D">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471692" w:rsidRPr="001E209B" w:rsidRDefault="00471692" w:rsidP="00124E7D">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w:t>
    </w:r>
    <w:r>
      <w:rPr>
        <w:rFonts w:ascii="Arial" w:hAnsi="Arial" w:cs="Arial"/>
        <w:b/>
        <w:sz w:val="22"/>
        <w:szCs w:val="22"/>
      </w:rPr>
      <w:t>July</w:t>
    </w:r>
    <w:r w:rsidRPr="001E209B">
      <w:rPr>
        <w:rFonts w:ascii="Arial" w:hAnsi="Arial" w:cs="Arial"/>
        <w:b/>
        <w:sz w:val="22"/>
        <w:szCs w:val="22"/>
      </w:rPr>
      <w:t xml:space="preserve"> 2012</w:t>
    </w:r>
  </w:p>
  <w:p w:rsidR="00471692" w:rsidRDefault="00471692" w:rsidP="00124E7D">
    <w:pPr>
      <w:keepLines/>
      <w:jc w:val="both"/>
      <w:rPr>
        <w:rFonts w:ascii="Arial" w:hAnsi="Arial" w:cs="Arial"/>
        <w:b/>
        <w:sz w:val="22"/>
        <w:szCs w:val="22"/>
        <w:u w:val="single"/>
      </w:rPr>
    </w:pPr>
  </w:p>
  <w:p w:rsidR="00471692" w:rsidRDefault="00471692" w:rsidP="00124E7D">
    <w:pPr>
      <w:keepLines/>
      <w:jc w:val="both"/>
      <w:rPr>
        <w:rFonts w:ascii="Arial" w:hAnsi="Arial" w:cs="Arial"/>
        <w:b/>
        <w:sz w:val="22"/>
        <w:szCs w:val="22"/>
        <w:u w:val="single"/>
      </w:rPr>
    </w:pPr>
    <w:r>
      <w:rPr>
        <w:rFonts w:ascii="Arial" w:hAnsi="Arial" w:cs="Arial"/>
        <w:b/>
        <w:sz w:val="22"/>
        <w:szCs w:val="22"/>
        <w:u w:val="single"/>
      </w:rPr>
      <w:t>Penalties and Sentences and Other Legislation Amendment Bill 2012</w:t>
    </w:r>
  </w:p>
  <w:p w:rsidR="00471692" w:rsidRDefault="00471692" w:rsidP="00124E7D">
    <w:pPr>
      <w:keepLines/>
      <w:jc w:val="both"/>
      <w:rPr>
        <w:rFonts w:ascii="Arial" w:hAnsi="Arial" w:cs="Arial"/>
        <w:b/>
        <w:sz w:val="22"/>
        <w:szCs w:val="22"/>
        <w:u w:val="single"/>
      </w:rPr>
    </w:pPr>
  </w:p>
  <w:p w:rsidR="00471692" w:rsidRPr="000400F9" w:rsidRDefault="00471692" w:rsidP="00124E7D">
    <w:pPr>
      <w:pStyle w:val="Header"/>
      <w:rPr>
        <w:rFonts w:ascii="Arial" w:hAnsi="Arial" w:cs="Arial"/>
        <w:b/>
        <w:sz w:val="22"/>
        <w:szCs w:val="22"/>
        <w:u w:val="single"/>
      </w:rPr>
    </w:pPr>
    <w:r>
      <w:rPr>
        <w:rFonts w:ascii="Arial" w:hAnsi="Arial" w:cs="Arial"/>
        <w:b/>
        <w:sz w:val="22"/>
        <w:szCs w:val="22"/>
        <w:u w:val="single"/>
      </w:rPr>
      <w:t xml:space="preserve">Attorney-General and Minister for Justice </w:t>
    </w:r>
  </w:p>
  <w:p w:rsidR="00471692" w:rsidRPr="00F10DF9" w:rsidRDefault="00471692" w:rsidP="00B46A4E">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267703"/>
    <w:multiLevelType w:val="hybridMultilevel"/>
    <w:tmpl w:val="23C23D12"/>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9D44293"/>
    <w:multiLevelType w:val="multilevel"/>
    <w:tmpl w:val="A77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E4BDC"/>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426ED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A03B59"/>
    <w:multiLevelType w:val="hybridMultilevel"/>
    <w:tmpl w:val="76504078"/>
    <w:lvl w:ilvl="0" w:tplc="0C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217364F0"/>
    <w:multiLevelType w:val="hybridMultilevel"/>
    <w:tmpl w:val="312CCA1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FEA576A"/>
    <w:multiLevelType w:val="hybridMultilevel"/>
    <w:tmpl w:val="6D1A0F46"/>
    <w:lvl w:ilvl="0" w:tplc="B532E7C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3FA3819"/>
    <w:multiLevelType w:val="multilevel"/>
    <w:tmpl w:val="970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9489D"/>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414B27"/>
    <w:multiLevelType w:val="multilevel"/>
    <w:tmpl w:val="312CCA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455A01"/>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011D5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0B0B4F"/>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5" w15:restartNumberingAfterBreak="0">
    <w:nsid w:val="5AF65E16"/>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7A5E1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A2334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5C1AB2"/>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BE4382"/>
    <w:multiLevelType w:val="hybridMultilevel"/>
    <w:tmpl w:val="EDCE973E"/>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76B67378"/>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76B259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DA75540"/>
    <w:multiLevelType w:val="hybridMultilevel"/>
    <w:tmpl w:val="6DFCEA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6"/>
  </w:num>
  <w:num w:numId="3">
    <w:abstractNumId w:val="22"/>
  </w:num>
  <w:num w:numId="4">
    <w:abstractNumId w:val="36"/>
  </w:num>
  <w:num w:numId="5">
    <w:abstractNumId w:val="16"/>
  </w:num>
  <w:num w:numId="6">
    <w:abstractNumId w:val="33"/>
  </w:num>
  <w:num w:numId="7">
    <w:abstractNumId w:val="6"/>
  </w:num>
  <w:num w:numId="8">
    <w:abstractNumId w:val="27"/>
  </w:num>
  <w:num w:numId="9">
    <w:abstractNumId w:val="25"/>
  </w:num>
  <w:num w:numId="10">
    <w:abstractNumId w:val="20"/>
  </w:num>
  <w:num w:numId="11">
    <w:abstractNumId w:val="7"/>
  </w:num>
  <w:num w:numId="12">
    <w:abstractNumId w:val="29"/>
  </w:num>
  <w:num w:numId="13">
    <w:abstractNumId w:val="21"/>
  </w:num>
  <w:num w:numId="14">
    <w:abstractNumId w:val="24"/>
  </w:num>
  <w:num w:numId="15">
    <w:abstractNumId w:val="34"/>
  </w:num>
  <w:num w:numId="16">
    <w:abstractNumId w:val="24"/>
  </w:num>
  <w:num w:numId="17">
    <w:abstractNumId w:val="4"/>
  </w:num>
  <w:num w:numId="18">
    <w:abstractNumId w:val="19"/>
  </w:num>
  <w:num w:numId="19">
    <w:abstractNumId w:val="1"/>
  </w:num>
  <w:num w:numId="20">
    <w:abstractNumId w:val="14"/>
  </w:num>
  <w:num w:numId="21">
    <w:abstractNumId w:val="1"/>
  </w:num>
  <w:num w:numId="22">
    <w:abstractNumId w:val="34"/>
  </w:num>
  <w:num w:numId="23">
    <w:abstractNumId w:val="24"/>
  </w:num>
  <w:num w:numId="24">
    <w:abstractNumId w:val="4"/>
  </w:num>
  <w:num w:numId="25">
    <w:abstractNumId w:val="19"/>
  </w:num>
  <w:num w:numId="26">
    <w:abstractNumId w:val="2"/>
  </w:num>
  <w:num w:numId="27">
    <w:abstractNumId w:val="30"/>
  </w:num>
  <w:num w:numId="28">
    <w:abstractNumId w:val="11"/>
  </w:num>
  <w:num w:numId="29">
    <w:abstractNumId w:val="37"/>
  </w:num>
  <w:num w:numId="30">
    <w:abstractNumId w:val="13"/>
  </w:num>
  <w:num w:numId="31">
    <w:abstractNumId w:val="9"/>
  </w:num>
  <w:num w:numId="32">
    <w:abstractNumId w:val="8"/>
  </w:num>
  <w:num w:numId="33">
    <w:abstractNumId w:val="23"/>
  </w:num>
  <w:num w:numId="34">
    <w:abstractNumId w:val="28"/>
  </w:num>
  <w:num w:numId="35">
    <w:abstractNumId w:val="31"/>
  </w:num>
  <w:num w:numId="36">
    <w:abstractNumId w:val="10"/>
  </w:num>
  <w:num w:numId="37">
    <w:abstractNumId w:val="32"/>
  </w:num>
  <w:num w:numId="38">
    <w:abstractNumId w:val="18"/>
  </w:num>
  <w:num w:numId="39">
    <w:abstractNumId w:val="17"/>
  </w:num>
  <w:num w:numId="40">
    <w:abstractNumId w:val="15"/>
  </w:num>
  <w:num w:numId="41">
    <w:abstractNumId w:val="5"/>
  </w:num>
  <w:num w:numId="42">
    <w:abstractNumId w:val="12"/>
  </w:num>
  <w:num w:numId="43">
    <w:abstractNumId w:val="39"/>
  </w:num>
  <w:num w:numId="44">
    <w:abstractNumId w:val="35"/>
  </w:num>
  <w:num w:numId="45">
    <w:abstractNumId w:val="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D1"/>
    <w:rsid w:val="0002082A"/>
    <w:rsid w:val="000455EC"/>
    <w:rsid w:val="0005520C"/>
    <w:rsid w:val="00057D2B"/>
    <w:rsid w:val="00060480"/>
    <w:rsid w:val="00062046"/>
    <w:rsid w:val="00066450"/>
    <w:rsid w:val="00072F62"/>
    <w:rsid w:val="000851A4"/>
    <w:rsid w:val="000B0792"/>
    <w:rsid w:val="000C21F1"/>
    <w:rsid w:val="000E20D0"/>
    <w:rsid w:val="000F213F"/>
    <w:rsid w:val="00124E7D"/>
    <w:rsid w:val="00152B45"/>
    <w:rsid w:val="00180EDB"/>
    <w:rsid w:val="00186FC3"/>
    <w:rsid w:val="00187946"/>
    <w:rsid w:val="001C5C47"/>
    <w:rsid w:val="001F02E8"/>
    <w:rsid w:val="00211329"/>
    <w:rsid w:val="00221761"/>
    <w:rsid w:val="00252E60"/>
    <w:rsid w:val="0025436A"/>
    <w:rsid w:val="002676EC"/>
    <w:rsid w:val="002806B7"/>
    <w:rsid w:val="0029502A"/>
    <w:rsid w:val="002B02FD"/>
    <w:rsid w:val="002B13B0"/>
    <w:rsid w:val="002D4245"/>
    <w:rsid w:val="002E287D"/>
    <w:rsid w:val="002F23BF"/>
    <w:rsid w:val="003046FE"/>
    <w:rsid w:val="00310F46"/>
    <w:rsid w:val="00312AA0"/>
    <w:rsid w:val="00314664"/>
    <w:rsid w:val="003275D0"/>
    <w:rsid w:val="00355094"/>
    <w:rsid w:val="00360FD6"/>
    <w:rsid w:val="00361B46"/>
    <w:rsid w:val="00392ABB"/>
    <w:rsid w:val="00395D9B"/>
    <w:rsid w:val="003A38CD"/>
    <w:rsid w:val="004367D0"/>
    <w:rsid w:val="004470A5"/>
    <w:rsid w:val="00451A6D"/>
    <w:rsid w:val="0045700A"/>
    <w:rsid w:val="004574E2"/>
    <w:rsid w:val="00457B3B"/>
    <w:rsid w:val="004635C1"/>
    <w:rsid w:val="00471692"/>
    <w:rsid w:val="00485E0A"/>
    <w:rsid w:val="004A4DDD"/>
    <w:rsid w:val="004C565F"/>
    <w:rsid w:val="004C5A54"/>
    <w:rsid w:val="00515706"/>
    <w:rsid w:val="00522272"/>
    <w:rsid w:val="00540C5B"/>
    <w:rsid w:val="00540C7B"/>
    <w:rsid w:val="005535C5"/>
    <w:rsid w:val="005554CB"/>
    <w:rsid w:val="00560F27"/>
    <w:rsid w:val="0056466F"/>
    <w:rsid w:val="00591C4E"/>
    <w:rsid w:val="00595143"/>
    <w:rsid w:val="0059637D"/>
    <w:rsid w:val="005A2C11"/>
    <w:rsid w:val="005A5013"/>
    <w:rsid w:val="005D400B"/>
    <w:rsid w:val="005E408F"/>
    <w:rsid w:val="005F1ED3"/>
    <w:rsid w:val="006051CB"/>
    <w:rsid w:val="00614D3C"/>
    <w:rsid w:val="00627623"/>
    <w:rsid w:val="00630279"/>
    <w:rsid w:val="00631E60"/>
    <w:rsid w:val="0065620E"/>
    <w:rsid w:val="00685B60"/>
    <w:rsid w:val="006862CE"/>
    <w:rsid w:val="006A1FA0"/>
    <w:rsid w:val="006B2C1F"/>
    <w:rsid w:val="006D27D4"/>
    <w:rsid w:val="006D3F7D"/>
    <w:rsid w:val="006F0676"/>
    <w:rsid w:val="006F2F07"/>
    <w:rsid w:val="00706B3C"/>
    <w:rsid w:val="00722D58"/>
    <w:rsid w:val="007370E8"/>
    <w:rsid w:val="00747101"/>
    <w:rsid w:val="00752CFA"/>
    <w:rsid w:val="00774813"/>
    <w:rsid w:val="007A6B61"/>
    <w:rsid w:val="007B4506"/>
    <w:rsid w:val="007B4F66"/>
    <w:rsid w:val="007B7EC7"/>
    <w:rsid w:val="007C5D57"/>
    <w:rsid w:val="007E18AD"/>
    <w:rsid w:val="00820DA3"/>
    <w:rsid w:val="00827922"/>
    <w:rsid w:val="00832E6D"/>
    <w:rsid w:val="0083708B"/>
    <w:rsid w:val="00837992"/>
    <w:rsid w:val="0085166C"/>
    <w:rsid w:val="00856692"/>
    <w:rsid w:val="008668E1"/>
    <w:rsid w:val="008727EB"/>
    <w:rsid w:val="00887450"/>
    <w:rsid w:val="0089134B"/>
    <w:rsid w:val="008A64D2"/>
    <w:rsid w:val="008B434F"/>
    <w:rsid w:val="008E368A"/>
    <w:rsid w:val="008E5EB7"/>
    <w:rsid w:val="0090158F"/>
    <w:rsid w:val="009158FC"/>
    <w:rsid w:val="00943A5D"/>
    <w:rsid w:val="00952787"/>
    <w:rsid w:val="00964843"/>
    <w:rsid w:val="009710BC"/>
    <w:rsid w:val="009715B0"/>
    <w:rsid w:val="00997C80"/>
    <w:rsid w:val="009B0B6C"/>
    <w:rsid w:val="009B581E"/>
    <w:rsid w:val="009D324F"/>
    <w:rsid w:val="009D461E"/>
    <w:rsid w:val="009E64A4"/>
    <w:rsid w:val="009F5419"/>
    <w:rsid w:val="00A11FBB"/>
    <w:rsid w:val="00A44640"/>
    <w:rsid w:val="00A50826"/>
    <w:rsid w:val="00A5280F"/>
    <w:rsid w:val="00A55E4D"/>
    <w:rsid w:val="00A6221E"/>
    <w:rsid w:val="00A93215"/>
    <w:rsid w:val="00A96C88"/>
    <w:rsid w:val="00AB2BD1"/>
    <w:rsid w:val="00AC18A4"/>
    <w:rsid w:val="00AD277A"/>
    <w:rsid w:val="00AE6038"/>
    <w:rsid w:val="00B133B9"/>
    <w:rsid w:val="00B21F0C"/>
    <w:rsid w:val="00B25B74"/>
    <w:rsid w:val="00B26013"/>
    <w:rsid w:val="00B3321A"/>
    <w:rsid w:val="00B34EA8"/>
    <w:rsid w:val="00B46A4E"/>
    <w:rsid w:val="00B47527"/>
    <w:rsid w:val="00B50E40"/>
    <w:rsid w:val="00B577C5"/>
    <w:rsid w:val="00B632F6"/>
    <w:rsid w:val="00B94DAA"/>
    <w:rsid w:val="00BA40FA"/>
    <w:rsid w:val="00BB5E42"/>
    <w:rsid w:val="00BC47EC"/>
    <w:rsid w:val="00BE437D"/>
    <w:rsid w:val="00BE6F32"/>
    <w:rsid w:val="00BF6981"/>
    <w:rsid w:val="00BF6FD4"/>
    <w:rsid w:val="00C12939"/>
    <w:rsid w:val="00C149F6"/>
    <w:rsid w:val="00C23ABB"/>
    <w:rsid w:val="00C2657F"/>
    <w:rsid w:val="00C30329"/>
    <w:rsid w:val="00C325A1"/>
    <w:rsid w:val="00C56904"/>
    <w:rsid w:val="00C8361E"/>
    <w:rsid w:val="00C86D28"/>
    <w:rsid w:val="00CB3466"/>
    <w:rsid w:val="00CC75AD"/>
    <w:rsid w:val="00CE05CC"/>
    <w:rsid w:val="00CE7993"/>
    <w:rsid w:val="00CF0639"/>
    <w:rsid w:val="00D242FE"/>
    <w:rsid w:val="00D44E94"/>
    <w:rsid w:val="00D65E90"/>
    <w:rsid w:val="00D82079"/>
    <w:rsid w:val="00D97C36"/>
    <w:rsid w:val="00DA4564"/>
    <w:rsid w:val="00DA66B6"/>
    <w:rsid w:val="00DC47ED"/>
    <w:rsid w:val="00E02393"/>
    <w:rsid w:val="00E10C09"/>
    <w:rsid w:val="00E12EBA"/>
    <w:rsid w:val="00E211B0"/>
    <w:rsid w:val="00E4797D"/>
    <w:rsid w:val="00E6758B"/>
    <w:rsid w:val="00E7299C"/>
    <w:rsid w:val="00E775F7"/>
    <w:rsid w:val="00E96B91"/>
    <w:rsid w:val="00EA362A"/>
    <w:rsid w:val="00EA6D8A"/>
    <w:rsid w:val="00EB4CD3"/>
    <w:rsid w:val="00EC06FB"/>
    <w:rsid w:val="00ED6304"/>
    <w:rsid w:val="00EE4BD1"/>
    <w:rsid w:val="00EE5B20"/>
    <w:rsid w:val="00EF4CD1"/>
    <w:rsid w:val="00F17536"/>
    <w:rsid w:val="00FB44DA"/>
    <w:rsid w:val="00FD6F0A"/>
    <w:rsid w:val="00FE5652"/>
    <w:rsid w:val="00FE6256"/>
    <w:rsid w:val="00FF533E"/>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7"/>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2E6D"/>
    <w:rPr>
      <w:color w:val="0000FF"/>
      <w:u w:val="single"/>
    </w:rPr>
  </w:style>
  <w:style w:type="character" w:styleId="FollowedHyperlink">
    <w:name w:val="FollowedHyperlink"/>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character" w:customStyle="1" w:styleId="HeaderChar">
    <w:name w:val="Header Char"/>
    <w:link w:val="Header"/>
    <w:locked/>
    <w:rsid w:val="00124E7D"/>
    <w:rPr>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enalties%20and%20Sentences%20and%20other%20Legislation%20Amendment%20Bill%202012%20Explanatory%20Not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Penalties%20and%20Sentences%20and%20other%20Legislation%20Amendment%20Bill%202012.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Penalties%20and%20Sentences%20and%20other%20Legislation%20Amendment%20Bill%202012%20Ex%20Notes%20Erratum.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1874</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2231</CharactersWithSpaces>
  <SharedDoc>false</SharedDoc>
  <HyperlinkBase>https://www.cabinet.qld.gov.au/documents/2012/Jul/Penalties Sentences Bill/</HyperlinkBase>
  <HLinks>
    <vt:vector size="18" baseType="variant">
      <vt:variant>
        <vt:i4>2687091</vt:i4>
      </vt:variant>
      <vt:variant>
        <vt:i4>6</vt:i4>
      </vt:variant>
      <vt:variant>
        <vt:i4>0</vt:i4>
      </vt:variant>
      <vt:variant>
        <vt:i4>5</vt:i4>
      </vt:variant>
      <vt:variant>
        <vt:lpwstr>Attachments/Penalties and Sentences and other Legislation Amendment Bill 2012 Ex Notes Erratum.PDF</vt:lpwstr>
      </vt:variant>
      <vt:variant>
        <vt:lpwstr/>
      </vt:variant>
      <vt:variant>
        <vt:i4>3932202</vt:i4>
      </vt:variant>
      <vt:variant>
        <vt:i4>3</vt:i4>
      </vt:variant>
      <vt:variant>
        <vt:i4>0</vt:i4>
      </vt:variant>
      <vt:variant>
        <vt:i4>5</vt:i4>
      </vt:variant>
      <vt:variant>
        <vt:lpwstr>Attachments/Penalties and Sentences and other Legislation Amendment Bill 2012 Explanatory Notes.PDF</vt:lpwstr>
      </vt:variant>
      <vt:variant>
        <vt:lpwstr/>
      </vt:variant>
      <vt:variant>
        <vt:i4>4849728</vt:i4>
      </vt:variant>
      <vt:variant>
        <vt:i4>0</vt:i4>
      </vt:variant>
      <vt:variant>
        <vt:i4>0</vt:i4>
      </vt:variant>
      <vt:variant>
        <vt:i4>5</vt:i4>
      </vt:variant>
      <vt:variant>
        <vt:lpwstr>Attachments/Penalties and Sentences and other Legislation Amendment Bill 2012.PDF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2012-08-30T04:44:00Z</cp:lastPrinted>
  <dcterms:created xsi:type="dcterms:W3CDTF">2017-10-24T23:18:00Z</dcterms:created>
  <dcterms:modified xsi:type="dcterms:W3CDTF">2018-03-06T01:13:00Z</dcterms:modified>
  <cp:category>Crime,Justice,Courts,Legislation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655045296</vt:i4>
  </property>
  <property fmtid="{D5CDD505-2E9C-101B-9397-08002B2CF9AE}" pid="3" name="_NewReviewCycle">
    <vt:lpwstr/>
  </property>
  <property fmtid="{D5CDD505-2E9C-101B-9397-08002B2CF9AE}" pid="4" name="_PreviousAdHocReviewCycleID">
    <vt:i4>-2067876158</vt:i4>
  </property>
  <property fmtid="{D5CDD505-2E9C-101B-9397-08002B2CF9AE}" pid="5" name="_ReviewingToolsShownOnce">
    <vt:lpwstr/>
  </property>
</Properties>
</file>